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filed with the Securities and Exchange Commission on August 12, 2026</w: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Registration No. 333-    </w:t>
      </w:r>
    </w:p>
    <w:p>
      <w:pPr>
        <w:pStyle w:val="TextBody"/>
        <w:bidi w:val="0"/>
        <w:spacing w:lineRule="auto" w:line="276" w:before="0" w:after="0"/>
        <w:jc w:val="left"/>
        <w:rPr>
          <w:color w:val="000000"/>
          <w:shd w:fill="FFFFFF" w:val="clear"/>
        </w:rPr>
      </w:pPr>
      <w:r>
        <w:rPr>
          <w:color w:val="000000"/>
          <w:shd w:fill="FFFFFF" w:val="clear"/>
        </w:rPr>
        <w:t> </w:t>
      </w:r>
    </w:p>
    <w:p>
      <w:pPr>
        <w:pStyle w:val="TextBody"/>
        <w:bidi w:val="0"/>
        <w:spacing w:lineRule="auto" w:line="276" w:before="0" w:after="0"/>
        <w:jc w:val="left"/>
        <w:rPr>
          <w:color w:val="000000"/>
          <w:shd w:fill="FFFFFF" w:val="clear"/>
        </w:rPr>
      </w:pPr>
      <w:r>
        <w:rPr>
          <w:color w:val="000000"/>
          <w:shd w:fill="FFFFFF" w:val="clear"/>
        </w:rPr>
        <w:t> </w:t>
      </w:r>
    </w:p>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S-8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REGISTRATION STATEMENT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UNDER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THE SECURITIES ACT OF 1933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 xml:space="preserve">FACTORIAL ENERGY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42-2967285</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805 Middlesex Turnpike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Billerica, MA 01821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(617) 315-9733</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FACTORIAL ENERGY INC. 2026 EQUITY INCENTIVE PLAN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FACTORIAL ENERGY INC. 2026 EMPLOYEE STOCK PURCHASE PLAN</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(Full title of the plan)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Siyu Huang</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Chief Executive Officer</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805 Middlesex Turnpike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Billerica, MA 01821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(617) 315-9733</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(Name and address of agent for service; Telephone number, including area code, of agent for service)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Copies to: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Jocelyn M. Arel</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Jeffrey A. Letalien</w:t>
      </w:r>
    </w:p>
    <w:p>
      <w:pPr>
        <w:pStyle w:val="TextBody"/>
        <w:bidi w:val="0"/>
        <w:spacing w:lineRule="auto" w:line="288"/>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Goodwin Procter LLP</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620 Eighth Avenue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York, NY 10018</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(212) 813-8800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shd w:fill="FFFFFF" w:val="clear"/>
        </w:rPr>
      </w:pPr>
      <w:r>
        <w:rPr>
          <w:color w:val="000000"/>
          <w:shd w:fill="FFFFFF" w:val="clear"/>
        </w:rPr>
        <w:t> </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shd w:fill="FFFFFF" w:val="clear"/>
        </w:rPr>
        <w:t xml:space="preserve">☐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left"/>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EXPLANATORY NOTE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June 5, 2026 (the “Closing Date”), Factorial Energy Inc. (previously named Cartesian Growth Corporation III) (the “Registrant”) consummated a business combination (the “Business Combination”) pursuant to the terms of the business combination agreement, dated December 17, 2025 and amended on March 26, 2026 and May 18, 2026 (as amended, the “Business Combination Agreement”), with Fenway MS, Inc., (“Merger Sub”), and Factorial Inc. (“Legacy Factorial”).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terms of the Business Combination Agreement, among other things, the following occurred: (1) the domestication of Cartesian Growth Corporation III (“CGC”) as a Delaware corporation, in which CGC de-registered from the Register of Companies in the Cayman Islands and transferred by way of continuation out of the Cayman Islands and into the State of Delaware so as to migrate to and domesticate as a Delaware corporation in accordance with CGC’s amended and restated memorandum and articles of association (the “CGC Articles”), Section 388 of the Delaware General Corporation Law (the “DGCL”) and Part XII of the Cayman Islands Companies Act (As Revised) (the “Domestication”); (2) the merger of Merger Sub with and into Legacy Factorial with Legacy Factorial surviving the merger as a wholly-owned subsidiary of CGC (the “Merger”), in accordance with the Business Combination Agreement and the DGCL; and (3) the consummation of the other transactions contemplated by the Business Combination Agreement and documents related thereto (such transactions, together with the Domestication and the Merger, the “Business Combination”).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the Business Combination, each outstanding and unexercised option to purchase shares of Legacy Factorial common stock (each, a “Legacy Factorial Option”) under the Factorial Inc. 2019 Stock Incentive Plan (as amended, the “2019 Plan”) was cancelled and exchanged for an option of the Registrant (each, a “Registrant Option”) under the Factorial Energy Inc. 2026 Equity Incentive Plan (the “2026 Plan”) exercisable for the number of shares of the Registrant’s Series A common stock, par value $0.00001 per share (“Series A Common Stock”) equal to approximately 3.6684 multiplied by the number of shares of Legacy Factorial common stock subject to the Legacy Factorial Option as of immediately prior to the effective time of the Business Combination, rounded down to the nearest whole share. Additionally, each unvested, outstanding restricted stock unit award with respect to Legacy Factorial common stock (each, a “Legacy Factorial RSU”) under the 2019 Plan was cancelled and exchanged for a restricted stock unit award of the Registrant (each, a “Registrant RSU”) under the 2026 Plan relating to the number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of shares of Series A Common Stock set forth on an allocation schedule. Following the Closing Date, Legacy Factorial did not grant any further awards under the 2019 Plan.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Accordingly, this Registration Statement registers (i) 21,000,000 shares of Series A Common Stock reserved and available for future issuance under the 2026 Plan, including (a) 3,115,299 shares of Series A Common Stock issuable with respect to the unvested Legacy Factorial Options that were cancelled and exchanged for Registrant Options under the 2026 Plan, (b) 5,116,217 shares of Series A Common Stock with respect to the unvested Legacy Factorial RSUs that were cancelled and exchanged for Registrant RSUs under the 2026 Plan, and © 12,768,484 shares of Series A Common Stock that have been reserved for future issuance under the 2026 Plan; (ii) 16,524,075 shares of Series A Common Stock issuable with respect to the vested Legacy Factorial Options that were cancelled and exchanged for Registrant Options under the 2026 Plan; and (iii) 1,830,211 shares of Series A Common Stock reserved and available for future issuance under the Factorial Energy Inc. 2026 Employee Stock Purchase Plan. </w:t>
      </w:r>
    </w:p>
    <w:p>
      <w:pPr>
        <w:pStyle w:val="TextBody"/>
        <w:bidi w:val="0"/>
        <w:spacing w:before="12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color w:val="000000"/>
          <w:shd w:fill="FFFFFF" w:val="clear"/>
        </w:rPr>
      </w:pPr>
      <w:r>
        <w:rPr>
          <w:color w:val="000000"/>
          <w:shd w:fill="FFFFFF" w:val="clear"/>
        </w:rPr>
        <w:t> </w:t>
      </w:r>
    </w:p>
    <w:p>
      <w:pPr>
        <w:pStyle w:val="TextBody"/>
        <w:bidi w:val="0"/>
        <w:spacing w:before="12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THE SECTION 10(a) PROSPECTUS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        Plan Information.</w:t>
      </w:r>
    </w:p>
    <w:p>
      <w:pPr>
        <w:pStyle w:val="TextBody"/>
        <w:bidi w:val="0"/>
        <w:spacing w:lineRule="auto" w:line="288" w:before="120" w:after="283"/>
        <w:jc w:val="both"/>
        <w:rPr>
          <w:color w:val="000000"/>
          <w:shd w:fill="FFFFFF" w:val="clear"/>
        </w:rPr>
      </w:pPr>
      <w:r>
        <w:rPr>
          <w:color w:val="000000"/>
          <w:shd w:fill="FFFFFF" w:val="clear"/>
        </w:rPr>
        <w:t> </w:t>
      </w:r>
      <w:r>
        <w:rPr>
          <w:rFonts w:ascii="Times New Roman;serif" w:hAnsi="Times New Roman;serif"/>
          <w:b w:val="false"/>
          <w:color w:val="000000"/>
          <w:sz w:val="20"/>
          <w:shd w:fill="FFFFFF" w:val="clear"/>
        </w:rPr>
        <w:t xml:space="preserve">The documents containing the information specified in this Item 1 will be sent or given to participants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Registration Statement on Form S-8 (this “Registration Statement”) or as prospectuses or prospectus supplements pursuant to Rule 424 under the Securities Act.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         Registrant Information and Employee Plan Annual Information.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II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THE REGISTRATION STATEMENT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Incorporation of Documents by Reference.</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Registrant hereby incorporates by reference into this Registration Statement the following documents filed with the Commission: </w:t>
      </w:r>
    </w:p>
    <w:p>
      <w:pPr>
        <w:pStyle w:val="TextBody"/>
        <w:bidi w:val="0"/>
        <w:spacing w:lineRule="auto" w:line="288" w:before="12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The Registrant’s prospectus, dated May 6, 2026, filed with the Commission pursuant to Rule 424(b)(3) of the Securities Act on May 6, 2026, relating to the Registrant’s Registration Statement on Form S-4, as amended (File No. 333-294663), which contains the audited financial statements for the Registrant’s latest fiscal year for which such statements have been filed (the “424(b)(3) Prospectus”);</w:t>
      </w:r>
    </w:p>
    <w:p>
      <w:pPr>
        <w:pStyle w:val="TextBody"/>
        <w:bidi w:val="0"/>
        <w:spacing w:lineRule="auto" w:line="288" w:before="12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Quarterly Report on Form 10-Q for the quarter ended June 30, 2026 filed with the Commission on August 11, 2026; </w:t>
      </w:r>
    </w:p>
    <w:p>
      <w:pPr>
        <w:pStyle w:val="TextBody"/>
        <w:bidi w:val="0"/>
        <w:spacing w:lineRule="auto" w:line="288" w:before="12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Current Reports on Form 8-K filed with the Commission on February 26, 2026, March 10, 2026, March 24, 2026, March 27, 2026, May 11, 2026, May 18, 2026, May 18, 2026, May 28, 2026, June 5, 2026, and June 10, 2026 (excluding information furnished pursuant to Items 2.02 or 7.01, or corresponding information furnished under Item 9.01 or included as an exhibit); and </w:t>
      </w:r>
    </w:p>
    <w:p>
      <w:pPr>
        <w:pStyle w:val="TextBody"/>
        <w:bidi w:val="0"/>
        <w:spacing w:lineRule="auto" w:line="288" w:before="120" w:after="283"/>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The description of the Series A Common Stock contained in the 424(b)(3) Prospectus and any other amendment or report filed for the purpose of updating such description.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documents that the Registrant subsequently files pursuant to Sections 13(a), 13(c), 14 and 15(d) of the Exchange Act prior to the filing of a post-effective amendment to this Registration Statement that indicates that all of the shares of Series A Common Stock offered have been sold or that deregisters all of such shares then remaining unsold, shall be deemed to be incorporated by reference in this Registration Statement and to be a part hereof from the date of the filing of such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color w:val="000000"/>
          <w:shd w:fill="FFFFFF" w:val="clear"/>
        </w:rPr>
      </w:pPr>
      <w:r>
        <w:rPr>
          <w:color w:val="000000"/>
          <w:shd w:fill="FFFFFF" w:val="clear"/>
        </w:rPr>
        <w:t> </w:t>
      </w:r>
    </w:p>
    <w:p>
      <w:pPr>
        <w:pStyle w:val="TextBody"/>
        <w:bidi w:val="0"/>
        <w:spacing w:before="12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no circumstances will any information filed under current items 2.02 or 7.01 of Form 8-K be deemed incorporated herein by reference unless such Form 8-K expressly provides to the contrary. </w:t>
      </w:r>
    </w:p>
    <w:p>
      <w:pPr>
        <w:pStyle w:val="TextBody"/>
        <w:bidi w:val="0"/>
        <w:spacing w:lineRule="auto" w:line="288" w:before="120" w:after="283"/>
        <w:jc w:val="both"/>
        <w:rPr>
          <w:color w:val="000000"/>
          <w:shd w:fill="FFFFFF" w:val="clear"/>
        </w:rPr>
      </w:pPr>
      <w:r>
        <w:rPr>
          <w:color w:val="000000"/>
          <w:shd w:fill="FFFFFF" w:val="clear"/>
        </w:rPr>
        <w:t>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Description of Securities.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lineRule="auto" w:line="288" w:before="120" w:after="283"/>
        <w:jc w:val="both"/>
        <w:rPr>
          <w:color w:val="000000"/>
          <w:shd w:fill="FFFFFF" w:val="clear"/>
        </w:rPr>
      </w:pPr>
      <w:r>
        <w:rPr>
          <w:color w:val="000000"/>
          <w:shd w:fill="FFFFFF" w:val="clear"/>
        </w:rPr>
        <w:t>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Interests of Named Experts and Counsel</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before="120" w:after="283"/>
        <w:jc w:val="both"/>
        <w:rPr/>
      </w:pPr>
      <w:r>
        <w:rPr/>
      </w:r>
    </w:p>
    <w:p>
      <w:pPr>
        <w:pStyle w:val="TextBody"/>
        <w:bidi w:val="0"/>
        <w:spacing w:lineRule="auto" w:line="288" w:before="120" w:after="283"/>
        <w:jc w:val="both"/>
        <w:rPr>
          <w:shd w:fill="FFFFFF" w:val="clear"/>
        </w:rPr>
      </w:pPr>
      <w:r>
        <w:rPr>
          <w:rFonts w:ascii="Times New Roman;serif" w:hAnsi="Times New Roman;serif"/>
          <w:b/>
          <w:color w:val="000000"/>
          <w:sz w:val="20"/>
          <w:shd w:fill="FFFFFF" w:val="clear"/>
        </w:rPr>
        <w:t>Item 6.        Indemnification of Directors and Officers</w:t>
      </w:r>
      <w:r>
        <w:rPr>
          <w:rFonts w:ascii="Arial;sans-serif" w:hAnsi="Arial;sans-serif"/>
          <w:b w:val="false"/>
          <w:color w:val="000000"/>
          <w:sz w:val="24"/>
          <w:shd w:fill="FFFFFF" w:val="clear"/>
        </w:rPr>
        <w:t>.</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145(a) of the Delaware General Corporation Law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certificate of incorporation, which became effective upon completion of the Business Combination, provides that, to the fullest extent permitted by the DGCL, no director or officer of ours shall be personally liable to us or our stockholders for monetary damages for breach of his or her fiduciary duty as a director or officer, as applicable; provided, however, that, with respect to directors, such limitation of liability does not apply to liability (a) for any breach of the director’s duty of loyalty to us or our stockholders, (b) for acts or omissions not in good faith or which involve intentional misconduct or a knowing violation of law, (c) under Section 174 of the DGCL, or (d) for any transaction from which the director derived an improper personal benefit; and, with respect to officers, such limitation of liability does not apply to liability (a) for any breach of the officer’s duty of loyalty to us or our stockholders, (b) for acts or omissions not in good faith or which involve intentional misconduct or a knowing violation of law, (c) for any transaction from which the officer derived an improper personal benefit, or (d) arising from any claim brought by or in the right of Factorial Energy. Our certificate of incorporation further provides that if the DGCL is amended to authorize corporate action further eliminating or limiting the personal liability of directors or officers, then the liability of a director or officer of ours shall be eliminated or limited to the fullest extent permitted by the DGCL, as so amended.</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certificate of incorporation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or officer, as applicable, serving at the time of such repeal or modification.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bylaws provide that each of our directors and officers shall be indemnified and held harmless by us to the fullest extent authorized by the DGCL against any and all expenses and liabilities incurred in connection with any proceeding (other than a proceeding by or in the right of us) by reason of such person’s corporate status, provided that such director or officer acted in good faith and in a manner reasonably believed to be in or not opposed to the best interests of us and, with respect to any criminal proceeding, had no reasonable cause to believe his or her conduct was unlawful. With respect to proceedings brought by or in the right of us, each director and officer shall be indemnified against expenses incurred in connection therewith, except that no indemnification shall be made in respect of any claim as to which such director or officer shall have been finally adjudged liable to us, unless the Court of Chancery of the State of Delaware or the court in which such proceeding was brought determines that, despite such adjudication of liability, such director or officer is fairly and reasonably entitled to indemnification for such expenses as the court deems proper. Non-officer employees may, in the discretion of our board of directors, be indemnified on similar terms to the fullest extent authorized by the DGCL. Our bylaws further provide that we shall advance all expenses incurred by or on behalf of any director in connection with any proceeding within thirty (30) days after receipt of a written request therefor, subject to an undertaking by such director to repay such amounts if it is ultimately determined that such director is not entitled to indemnification; advancement of expenses to officers and non-officer employees is available at the discretion of our board of directors on similar terms. The rights to indemnification and advancement of expenses provided under our bylaws are deemed contractual in nature, vest at the time of the act or omission in question, and shall not be reduced or eliminated by any subsequent amendment, repeal or modification of our bylaws.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Business Combination, we entered into indemnification agreements with each of our directors and executive officers. These agreements provide that we will indemnify each of our directors and such officers to the fullest extent permitted by law and our certificate of incorporation and bylaws.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also maintain a general liability insurance policy, which will cover certain liabilities of directors and officers of ours arising out of claims based on acts or omissions in their capacities as directors or officers.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7.         Exemption from Registration Claimed.</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lineRule="auto" w:line="288" w:before="120" w:after="283"/>
        <w:jc w:val="both"/>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8.         Exhibits.</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EXHIBIT INDEX </w:t>
      </w:r>
    </w:p>
    <w:p>
      <w:pPr>
        <w:pStyle w:val="TextBody"/>
        <w:bidi w:val="0"/>
        <w:spacing w:lineRule="auto" w:line="288" w:before="120" w:after="283"/>
        <w:jc w:val="both"/>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680"/>
        <w:gridCol w:w="2680"/>
        <w:gridCol w:w="3827"/>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Factorial Energy Inc. Certificate of Incorporation (incorporated by reference to the Registrant’s Current Report on Form 8-K filed on June 10, 2026).</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Factorial Energy Inc. Bylaws (incorporated by reference to the Registrant’s Current Report on Form 8-K filed on June 10, 2026).</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goodwinopinion.htm">
              <w:r>
                <w:rPr>
                  <w:rStyle w:val="InternetLink"/>
                  <w:rFonts w:ascii="Times New Roman;serif" w:hAnsi="Times New Roman;serif"/>
                  <w:b w:val="false"/>
                  <w:color w:val="0000FF"/>
                  <w:sz w:val="20"/>
                  <w:u w:val="single"/>
                </w:rPr>
                <w:t xml:space="preserve">Opinion of Goodwin Procter LLP. </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rsmconsent.htm">
              <w:r>
                <w:rPr>
                  <w:rStyle w:val="InternetLink"/>
                  <w:rFonts w:ascii="Times New Roman;serif" w:hAnsi="Times New Roman;serif"/>
                  <w:b w:val="false"/>
                  <w:color w:val="0000FF"/>
                  <w:sz w:val="20"/>
                  <w:u w:val="single"/>
                </w:rPr>
                <w:t>Consent of RSM US LLP, independent registered public accounting firm.</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cbizopinion.htm">
              <w:r>
                <w:rPr>
                  <w:rStyle w:val="InternetLink"/>
                  <w:rFonts w:ascii="Times New Roman;serif" w:hAnsi="Times New Roman;serif"/>
                  <w:b w:val="false"/>
                  <w:color w:val="0000FF"/>
                  <w:sz w:val="20"/>
                  <w:u w:val="single"/>
                </w:rPr>
                <w:t>Consent of CBIZ CPAs P.C., former independent registered public accounting firm.</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goodwinopinion.htm">
              <w:r>
                <w:rPr>
                  <w:rStyle w:val="InternetLink"/>
                  <w:rFonts w:ascii="Times New Roman;serif" w:hAnsi="Times New Roman;serif"/>
                  <w:b w:val="false"/>
                  <w:color w:val="0000FF"/>
                  <w:sz w:val="20"/>
                  <w:u w:val="single"/>
                </w:rPr>
                <w:t>Consent of Goodwin Procter LLP (included in Exhibit 5.1).</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45390761d444dbb8526a8a993e2e4_89">
              <w:r>
                <w:rPr>
                  <w:rStyle w:val="InternetLink"/>
                  <w:rFonts w:ascii="Times New Roman;serif" w:hAnsi="Times New Roman;serif"/>
                  <w:b w:val="false"/>
                  <w:color w:val="0000FF"/>
                  <w:sz w:val="20"/>
                  <w:u w:val="single"/>
                </w:rPr>
                <w:t>Power of Attorney (included on signature page).</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EE"/>
                  <w:sz w:val="20"/>
                  <w:u w:val="single"/>
                </w:rPr>
                <w:t xml:space="preserve">2026 Equity Incentive Plan of Factorial Energy Inc., and forms of award agreements thereunder (incorporated by reference to Exhibit 10.17 to the Registrant’s Current Report on Form 8-K filed on June 10, 2026). </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EE"/>
                  <w:sz w:val="20"/>
                  <w:u w:val="single"/>
                </w:rPr>
                <w:t>2026 Employee Stock Purchase Plan of Factorial Energy Inc. (incorporated by reference to Exhibit 10.18 to the Registrant’s Current Report on Form 8-K filed on June 10, 2026).</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120" w:after="283"/>
        <w:jc w:val="both"/>
        <w:rPr>
          <w:color w:val="000000"/>
          <w:shd w:fill="FFFFFF" w:val="clear"/>
        </w:rPr>
      </w:pPr>
      <w:r>
        <w:rPr>
          <w:color w:val="000000"/>
          <w:shd w:fill="FFFFFF" w:val="clear"/>
        </w:rPr>
        <w:t> </w:t>
      </w:r>
    </w:p>
    <w:tbl>
      <w:tblPr>
        <w:tblW w:w="2085" w:type="dxa"/>
        <w:jc w:val="left"/>
        <w:tblInd w:w="0" w:type="dxa"/>
        <w:tblLayout w:type="fixed"/>
        <w:tblCellMar>
          <w:top w:w="28" w:type="dxa"/>
          <w:left w:w="28" w:type="dxa"/>
          <w:bottom w:w="28" w:type="dxa"/>
          <w:right w:w="28" w:type="dxa"/>
        </w:tblCellMar>
      </w:tblPr>
      <w:tblGrid>
        <w:gridCol w:w="255"/>
        <w:gridCol w:w="224"/>
        <w:gridCol w:w="226"/>
        <w:gridCol w:w="404"/>
        <w:gridCol w:w="404"/>
        <w:gridCol w:w="572"/>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Undertakings. </w:t>
            </w:r>
          </w:p>
        </w:tc>
      </w:tr>
    </w:tbl>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Registrant hereby undertakes: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To file, during any period in which offers or sales are being made, a post-effective amendment to this Registration Statement: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To include any prospectus required by Section 10(a)(3) of the Securities Act.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Registration Statement. </w:t>
      </w:r>
    </w:p>
    <w:p>
      <w:pPr>
        <w:pStyle w:val="TextBody"/>
        <w:bidi w:val="0"/>
        <w:spacing w:lineRule="auto" w:line="288" w:before="120" w:after="283"/>
        <w:jc w:val="both"/>
        <w:rPr>
          <w:shd w:fill="FFFFFF" w:val="clear"/>
        </w:rPr>
      </w:pPr>
      <w:r>
        <w:rPr>
          <w:rFonts w:ascii="Times New Roman;serif" w:hAnsi="Times New Roman;serif"/>
          <w:b w:val="false"/>
          <w:color w:val="000000"/>
          <w:sz w:val="20"/>
          <w:shd w:fill="FFFFFF" w:val="clear"/>
        </w:rPr>
        <w:t xml:space="preserve">(iii) To include any material information with respect to the plan of distribution not previously disclosed in the Registration Statement or any material change to such information in the registration statement. </w:t>
      </w: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605" cy="14605"/>
                <wp:effectExtent l="0" t="0" r="0" b="0"/>
                <wp:wrapNone/>
                <wp:docPr id="7" name="Frame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 To remove from registration by means of a post-effective amendment any of the securities being registered which remain unsold at the termination of the offering.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120" w:after="283"/>
        <w:jc w:val="both"/>
        <w:rPr>
          <w:shd w:fill="FFFFFF" w:val="clear"/>
        </w:rPr>
      </w:pPr>
      <w:r>
        <w:rPr>
          <w:rFonts w:ascii="Times New Roman;serif" w:hAnsi="Times New Roman;serif"/>
          <w:b w:val="false"/>
          <w:color w:val="000000"/>
          <w:sz w:val="20"/>
          <w:shd w:fill="FFFFFF" w:val="clear"/>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Billerica, Massachusetts, on this 12</w:t>
      </w:r>
      <w:r>
        <w:rPr>
          <w:rFonts w:ascii="Times New Roman;serif" w:hAnsi="Times New Roman;serif"/>
          <w:b w:val="false"/>
          <w:color w:val="000000"/>
          <w:sz w:val="13"/>
          <w:shd w:fill="FFFFFF" w:val="clear"/>
        </w:rPr>
        <w:t>th</w:t>
      </w:r>
      <w:r>
        <w:rPr>
          <w:color w:val="000000"/>
          <w:shd w:fill="FFFFFF" w:val="clear"/>
        </w:rPr>
        <w:t xml:space="preserve"> </w:t>
      </w:r>
      <w:r>
        <w:rPr>
          <w:rFonts w:ascii="Times New Roman;serif" w:hAnsi="Times New Roman;serif"/>
          <w:b w:val="false"/>
          <w:color w:val="000000"/>
          <w:sz w:val="20"/>
          <w:shd w:fill="FFFFFF" w:val="clear"/>
        </w:rPr>
        <w:t xml:space="preserve">day of August, 2026. </w:t>
      </w:r>
    </w:p>
    <w:p>
      <w:pPr>
        <w:pStyle w:val="TextBody"/>
        <w:bidi w:val="0"/>
        <w:spacing w:lineRule="auto" w:line="288" w:before="120" w:after="283"/>
        <w:jc w:val="both"/>
        <w:rPr>
          <w:color w:val="000000"/>
          <w:shd w:fill="FFFFFF" w:val="clear"/>
        </w:rPr>
      </w:pPr>
      <w:r>
        <w:rPr>
          <w:color w:val="000000"/>
          <w:shd w:fill="FFFFFF" w:val="clear"/>
        </w:rPr>
        <w:t> </w:t>
      </w:r>
    </w:p>
    <w:tbl>
      <w:tblPr>
        <w:tblW w:w="4246" w:type="dxa"/>
        <w:jc w:val="left"/>
        <w:tblInd w:w="0" w:type="dxa"/>
        <w:tblLayout w:type="fixed"/>
        <w:tblCellMar>
          <w:top w:w="28" w:type="dxa"/>
          <w:left w:w="28" w:type="dxa"/>
          <w:bottom w:w="28" w:type="dxa"/>
          <w:right w:w="28" w:type="dxa"/>
        </w:tblCellMar>
      </w:tblPr>
      <w:tblGrid>
        <w:gridCol w:w="312"/>
        <w:gridCol w:w="274"/>
        <w:gridCol w:w="274"/>
        <w:gridCol w:w="274"/>
        <w:gridCol w:w="274"/>
        <w:gridCol w:w="274"/>
        <w:gridCol w:w="746"/>
        <w:gridCol w:w="746"/>
        <w:gridCol w:w="1072"/>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FACTORIAL ENERGY INC.</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Siyu Huang</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Siyu Huang</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POWER OF ATTORNEY AND SIGNATURES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KNOW ALL BY THESE PRESENT, that each individual whose signature appears below hereby constitutes and appoints each of Siyu Huang and Richard Wei,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this Registration Statement has been signed by the following person in the capacities and on the date indicated.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47" w:type="dxa"/>
        <w:jc w:val="left"/>
        <w:tblInd w:w="0" w:type="dxa"/>
        <w:tblLayout w:type="fixed"/>
        <w:tblCellMar>
          <w:top w:w="28" w:type="dxa"/>
          <w:left w:w="28" w:type="dxa"/>
          <w:bottom w:w="28" w:type="dxa"/>
          <w:right w:w="28" w:type="dxa"/>
        </w:tblCellMar>
      </w:tblPr>
      <w:tblGrid>
        <w:gridCol w:w="640"/>
        <w:gridCol w:w="563"/>
        <w:gridCol w:w="566"/>
        <w:gridCol w:w="109"/>
        <w:gridCol w:w="109"/>
        <w:gridCol w:w="109"/>
        <w:gridCol w:w="1369"/>
        <w:gridCol w:w="1369"/>
        <w:gridCol w:w="1387"/>
        <w:gridCol w:w="109"/>
        <w:gridCol w:w="109"/>
        <w:gridCol w:w="109"/>
        <w:gridCol w:w="437"/>
        <w:gridCol w:w="437"/>
        <w:gridCol w:w="625"/>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Siyu Huang</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Siyu Huang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88"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Richard Wei</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Richard Wei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Jay Scuteri</w:t>
            </w:r>
          </w:p>
        </w:tc>
        <w:tc>
          <w:tcPr>
            <w:tcW w:w="44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VP,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Jay Scuteri</w:t>
            </w:r>
          </w:p>
        </w:tc>
        <w:tc>
          <w:tcPr>
            <w:tcW w:w="445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Alex Yu</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Alex Yu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Co-Founder, Chief Technical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Joseph M. Taylor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Joseph M. 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Uwe Keller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Uwe Keller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Liad Meidar</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Liad Meidar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Jon K. Nelson</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Jon K. Nelson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Dieter Zetsche</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Dieter Zetsche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htm"/>
      <w:bookmarkStart w:id="1" w:name="ksexfilingfee"/>
      <w:bookmarkStart w:id="2" w:name="exfilingfee.htm"/>
      <w:bookmarkStart w:id="3" w:name="ksexfilingfee"/>
      <w:bookmarkEnd w:id="2"/>
      <w:bookmarkEnd w:id="3"/>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Factorial Energy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9"/>
        <w:gridCol w:w="1031"/>
        <w:gridCol w:w="1282"/>
        <w:gridCol w:w="1191"/>
        <w:gridCol w:w="1177"/>
        <w:gridCol w:w="1798"/>
        <w:gridCol w:w="1126"/>
        <w:gridCol w:w="1410"/>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7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9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9" w:type="dxa"/>
            <w:tcBorders/>
            <w:shd w:fill="E7E7E2" w:val="clear"/>
            <w:vAlign w:val="center"/>
          </w:tcPr>
          <w:p>
            <w:pPr>
              <w:pStyle w:val="TableContents"/>
              <w:bidi w:val="0"/>
              <w:spacing w:before="0" w:after="283"/>
              <w:jc w:val="left"/>
              <w:rPr/>
            </w:pPr>
            <w:r>
              <w:rPr/>
              <w:t xml:space="preserve">Equity </w:t>
            </w:r>
          </w:p>
        </w:tc>
        <w:tc>
          <w:tcPr>
            <w:tcW w:w="1031" w:type="dxa"/>
            <w:tcBorders/>
            <w:shd w:fill="E7E7E2" w:val="clear"/>
            <w:vAlign w:val="center"/>
          </w:tcPr>
          <w:p>
            <w:pPr>
              <w:pStyle w:val="TableContents"/>
              <w:bidi w:val="0"/>
              <w:spacing w:before="0" w:after="283"/>
              <w:jc w:val="left"/>
              <w:rPr/>
            </w:pPr>
            <w:r>
              <w:rPr/>
              <w:t xml:space="preserve">Series A common stock, par value $0.00001 per share </w:t>
            </w:r>
          </w:p>
        </w:tc>
        <w:tc>
          <w:tcPr>
            <w:tcW w:w="1282" w:type="dxa"/>
            <w:tcBorders/>
            <w:shd w:fill="E7E7E2" w:val="clear"/>
            <w:vAlign w:val="center"/>
          </w:tcPr>
          <w:p>
            <w:pPr>
              <w:pStyle w:val="TableContents"/>
              <w:bidi w:val="0"/>
              <w:spacing w:before="0" w:after="283"/>
              <w:jc w:val="center"/>
              <w:rPr/>
            </w:pPr>
            <w:r>
              <w:rPr/>
              <w:t xml:space="preserve">Other </w:t>
            </w:r>
          </w:p>
        </w:tc>
        <w:tc>
          <w:tcPr>
            <w:tcW w:w="1191" w:type="dxa"/>
            <w:tcBorders/>
            <w:shd w:fill="E7E7E2" w:val="clear"/>
            <w:vAlign w:val="center"/>
          </w:tcPr>
          <w:p>
            <w:pPr>
              <w:pStyle w:val="TableContents"/>
              <w:bidi w:val="0"/>
              <w:spacing w:before="0" w:after="283"/>
              <w:jc w:val="right"/>
              <w:rPr/>
            </w:pPr>
            <w:r>
              <w:rPr/>
              <w:t xml:space="preserve">12,768,484 </w:t>
            </w:r>
          </w:p>
        </w:tc>
        <w:tc>
          <w:tcPr>
            <w:tcW w:w="1177" w:type="dxa"/>
            <w:tcBorders/>
            <w:shd w:fill="E7E7E2" w:val="clear"/>
            <w:vAlign w:val="center"/>
          </w:tcPr>
          <w:p>
            <w:pPr>
              <w:pStyle w:val="TableContents"/>
              <w:bidi w:val="0"/>
              <w:spacing w:before="0" w:after="283"/>
              <w:jc w:val="right"/>
              <w:rPr/>
            </w:pPr>
            <w:r>
              <w:rPr/>
              <w:t xml:space="preserve">$ 5.83 </w:t>
            </w:r>
          </w:p>
        </w:tc>
        <w:tc>
          <w:tcPr>
            <w:tcW w:w="1798" w:type="dxa"/>
            <w:tcBorders/>
            <w:shd w:fill="E7E7E2" w:val="clear"/>
            <w:vAlign w:val="center"/>
          </w:tcPr>
          <w:p>
            <w:pPr>
              <w:pStyle w:val="TableContents"/>
              <w:bidi w:val="0"/>
              <w:spacing w:before="0" w:after="283"/>
              <w:jc w:val="right"/>
              <w:rPr/>
            </w:pPr>
            <w:r>
              <w:rPr/>
              <w:t xml:space="preserve">$ 74,440,261.72 </w:t>
            </w:r>
          </w:p>
        </w:tc>
        <w:tc>
          <w:tcPr>
            <w:tcW w:w="1126" w:type="dxa"/>
            <w:tcBorders/>
            <w:shd w:fill="E7E7E2" w:val="clear"/>
            <w:vAlign w:val="center"/>
          </w:tcPr>
          <w:p>
            <w:pPr>
              <w:pStyle w:val="TableContents"/>
              <w:bidi w:val="0"/>
              <w:spacing w:before="0" w:after="283"/>
              <w:jc w:val="right"/>
              <w:rPr/>
            </w:pPr>
            <w:r>
              <w:rPr/>
              <w:t xml:space="preserve">0.0001381 </w:t>
            </w:r>
          </w:p>
        </w:tc>
        <w:tc>
          <w:tcPr>
            <w:tcW w:w="1410" w:type="dxa"/>
            <w:tcBorders/>
            <w:shd w:fill="E7E7E2" w:val="clear"/>
            <w:vAlign w:val="center"/>
          </w:tcPr>
          <w:p>
            <w:pPr>
              <w:pStyle w:val="TableContents"/>
              <w:bidi w:val="0"/>
              <w:spacing w:before="0" w:after="283"/>
              <w:jc w:val="right"/>
              <w:rPr/>
            </w:pPr>
            <w:r>
              <w:rPr/>
              <w:t xml:space="preserve">$ 10,280.20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9" w:type="dxa"/>
            <w:tcBorders/>
            <w:shd w:fill="E7E7E2" w:val="clear"/>
            <w:vAlign w:val="center"/>
          </w:tcPr>
          <w:p>
            <w:pPr>
              <w:pStyle w:val="TableContents"/>
              <w:bidi w:val="0"/>
              <w:spacing w:before="0" w:after="283"/>
              <w:jc w:val="left"/>
              <w:rPr/>
            </w:pPr>
            <w:r>
              <w:rPr/>
              <w:t xml:space="preserve">Equity </w:t>
            </w:r>
          </w:p>
        </w:tc>
        <w:tc>
          <w:tcPr>
            <w:tcW w:w="1031" w:type="dxa"/>
            <w:tcBorders/>
            <w:shd w:fill="E7E7E2" w:val="clear"/>
            <w:vAlign w:val="center"/>
          </w:tcPr>
          <w:p>
            <w:pPr>
              <w:pStyle w:val="TableContents"/>
              <w:bidi w:val="0"/>
              <w:spacing w:before="0" w:after="283"/>
              <w:jc w:val="left"/>
              <w:rPr/>
            </w:pPr>
            <w:r>
              <w:rPr/>
              <w:t xml:space="preserve">Series A common stock, par value $0.00001 per share </w:t>
            </w:r>
          </w:p>
        </w:tc>
        <w:tc>
          <w:tcPr>
            <w:tcW w:w="1282" w:type="dxa"/>
            <w:tcBorders/>
            <w:shd w:fill="E7E7E2" w:val="clear"/>
            <w:vAlign w:val="center"/>
          </w:tcPr>
          <w:p>
            <w:pPr>
              <w:pStyle w:val="TableContents"/>
              <w:bidi w:val="0"/>
              <w:spacing w:before="0" w:after="283"/>
              <w:jc w:val="center"/>
              <w:rPr/>
            </w:pPr>
            <w:r>
              <w:rPr/>
              <w:t xml:space="preserve">Other </w:t>
            </w:r>
          </w:p>
        </w:tc>
        <w:tc>
          <w:tcPr>
            <w:tcW w:w="1191" w:type="dxa"/>
            <w:tcBorders/>
            <w:shd w:fill="E7E7E2" w:val="clear"/>
            <w:vAlign w:val="center"/>
          </w:tcPr>
          <w:p>
            <w:pPr>
              <w:pStyle w:val="TableContents"/>
              <w:bidi w:val="0"/>
              <w:spacing w:before="0" w:after="283"/>
              <w:jc w:val="right"/>
              <w:rPr/>
            </w:pPr>
            <w:r>
              <w:rPr/>
              <w:t xml:space="preserve">3,115,299 </w:t>
            </w:r>
          </w:p>
        </w:tc>
        <w:tc>
          <w:tcPr>
            <w:tcW w:w="1177" w:type="dxa"/>
            <w:tcBorders/>
            <w:shd w:fill="E7E7E2" w:val="clear"/>
            <w:vAlign w:val="center"/>
          </w:tcPr>
          <w:p>
            <w:pPr>
              <w:pStyle w:val="TableContents"/>
              <w:bidi w:val="0"/>
              <w:spacing w:before="0" w:after="283"/>
              <w:jc w:val="right"/>
              <w:rPr/>
            </w:pPr>
            <w:r>
              <w:rPr/>
              <w:t xml:space="preserve">$ 1.07 </w:t>
            </w:r>
          </w:p>
        </w:tc>
        <w:tc>
          <w:tcPr>
            <w:tcW w:w="1798" w:type="dxa"/>
            <w:tcBorders/>
            <w:shd w:fill="E7E7E2" w:val="clear"/>
            <w:vAlign w:val="center"/>
          </w:tcPr>
          <w:p>
            <w:pPr>
              <w:pStyle w:val="TableContents"/>
              <w:bidi w:val="0"/>
              <w:spacing w:before="0" w:after="283"/>
              <w:jc w:val="right"/>
              <w:rPr/>
            </w:pPr>
            <w:r>
              <w:rPr/>
              <w:t xml:space="preserve">$ 3,333,369.93 </w:t>
            </w:r>
          </w:p>
        </w:tc>
        <w:tc>
          <w:tcPr>
            <w:tcW w:w="1126" w:type="dxa"/>
            <w:tcBorders/>
            <w:shd w:fill="E7E7E2" w:val="clear"/>
            <w:vAlign w:val="center"/>
          </w:tcPr>
          <w:p>
            <w:pPr>
              <w:pStyle w:val="TableContents"/>
              <w:bidi w:val="0"/>
              <w:spacing w:before="0" w:after="283"/>
              <w:jc w:val="right"/>
              <w:rPr/>
            </w:pPr>
            <w:r>
              <w:rPr/>
              <w:t xml:space="preserve">0.0001381 </w:t>
            </w:r>
          </w:p>
        </w:tc>
        <w:tc>
          <w:tcPr>
            <w:tcW w:w="1410" w:type="dxa"/>
            <w:tcBorders/>
            <w:shd w:fill="E7E7E2" w:val="clear"/>
            <w:vAlign w:val="center"/>
          </w:tcPr>
          <w:p>
            <w:pPr>
              <w:pStyle w:val="TableContents"/>
              <w:bidi w:val="0"/>
              <w:spacing w:before="0" w:after="283"/>
              <w:jc w:val="right"/>
              <w:rPr/>
            </w:pPr>
            <w:r>
              <w:rPr/>
              <w:t xml:space="preserve">$ 460.34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9" w:type="dxa"/>
            <w:tcBorders/>
            <w:shd w:fill="E7E7E2" w:val="clear"/>
            <w:vAlign w:val="center"/>
          </w:tcPr>
          <w:p>
            <w:pPr>
              <w:pStyle w:val="TableContents"/>
              <w:bidi w:val="0"/>
              <w:spacing w:before="0" w:after="283"/>
              <w:jc w:val="left"/>
              <w:rPr/>
            </w:pPr>
            <w:r>
              <w:rPr/>
              <w:t xml:space="preserve">Equity </w:t>
            </w:r>
          </w:p>
        </w:tc>
        <w:tc>
          <w:tcPr>
            <w:tcW w:w="1031" w:type="dxa"/>
            <w:tcBorders/>
            <w:shd w:fill="E7E7E2" w:val="clear"/>
            <w:vAlign w:val="center"/>
          </w:tcPr>
          <w:p>
            <w:pPr>
              <w:pStyle w:val="TableContents"/>
              <w:bidi w:val="0"/>
              <w:spacing w:before="0" w:after="283"/>
              <w:jc w:val="left"/>
              <w:rPr/>
            </w:pPr>
            <w:r>
              <w:rPr/>
              <w:t xml:space="preserve">Series A common stock, par value $0.00001 per share </w:t>
            </w:r>
          </w:p>
        </w:tc>
        <w:tc>
          <w:tcPr>
            <w:tcW w:w="1282" w:type="dxa"/>
            <w:tcBorders/>
            <w:shd w:fill="E7E7E2" w:val="clear"/>
            <w:vAlign w:val="center"/>
          </w:tcPr>
          <w:p>
            <w:pPr>
              <w:pStyle w:val="TableContents"/>
              <w:bidi w:val="0"/>
              <w:spacing w:before="0" w:after="283"/>
              <w:jc w:val="center"/>
              <w:rPr/>
            </w:pPr>
            <w:r>
              <w:rPr/>
              <w:t xml:space="preserve">Other </w:t>
            </w:r>
          </w:p>
        </w:tc>
        <w:tc>
          <w:tcPr>
            <w:tcW w:w="1191" w:type="dxa"/>
            <w:tcBorders/>
            <w:shd w:fill="E7E7E2" w:val="clear"/>
            <w:vAlign w:val="center"/>
          </w:tcPr>
          <w:p>
            <w:pPr>
              <w:pStyle w:val="TableContents"/>
              <w:bidi w:val="0"/>
              <w:spacing w:before="0" w:after="283"/>
              <w:jc w:val="right"/>
              <w:rPr/>
            </w:pPr>
            <w:r>
              <w:rPr/>
              <w:t xml:space="preserve">5,116,217 </w:t>
            </w:r>
          </w:p>
        </w:tc>
        <w:tc>
          <w:tcPr>
            <w:tcW w:w="1177" w:type="dxa"/>
            <w:tcBorders/>
            <w:shd w:fill="E7E7E2" w:val="clear"/>
            <w:vAlign w:val="center"/>
          </w:tcPr>
          <w:p>
            <w:pPr>
              <w:pStyle w:val="TableContents"/>
              <w:bidi w:val="0"/>
              <w:spacing w:before="0" w:after="283"/>
              <w:jc w:val="right"/>
              <w:rPr/>
            </w:pPr>
            <w:r>
              <w:rPr/>
              <w:t xml:space="preserve">$ 5.83 </w:t>
            </w:r>
          </w:p>
        </w:tc>
        <w:tc>
          <w:tcPr>
            <w:tcW w:w="1798" w:type="dxa"/>
            <w:tcBorders/>
            <w:shd w:fill="E7E7E2" w:val="clear"/>
            <w:vAlign w:val="center"/>
          </w:tcPr>
          <w:p>
            <w:pPr>
              <w:pStyle w:val="TableContents"/>
              <w:bidi w:val="0"/>
              <w:spacing w:before="0" w:after="283"/>
              <w:jc w:val="right"/>
              <w:rPr/>
            </w:pPr>
            <w:r>
              <w:rPr/>
              <w:t xml:space="preserve">$ 29,827,545.11 </w:t>
            </w:r>
          </w:p>
        </w:tc>
        <w:tc>
          <w:tcPr>
            <w:tcW w:w="1126" w:type="dxa"/>
            <w:tcBorders/>
            <w:shd w:fill="E7E7E2" w:val="clear"/>
            <w:vAlign w:val="center"/>
          </w:tcPr>
          <w:p>
            <w:pPr>
              <w:pStyle w:val="TableContents"/>
              <w:bidi w:val="0"/>
              <w:spacing w:before="0" w:after="283"/>
              <w:jc w:val="right"/>
              <w:rPr/>
            </w:pPr>
            <w:r>
              <w:rPr/>
              <w:t xml:space="preserve">0.0001381 </w:t>
            </w:r>
          </w:p>
        </w:tc>
        <w:tc>
          <w:tcPr>
            <w:tcW w:w="1410" w:type="dxa"/>
            <w:tcBorders/>
            <w:shd w:fill="E7E7E2" w:val="clear"/>
            <w:vAlign w:val="center"/>
          </w:tcPr>
          <w:p>
            <w:pPr>
              <w:pStyle w:val="TableContents"/>
              <w:bidi w:val="0"/>
              <w:spacing w:before="0" w:after="283"/>
              <w:jc w:val="right"/>
              <w:rPr/>
            </w:pPr>
            <w:r>
              <w:rPr/>
              <w:t xml:space="preserve">$ 4,119.18 </w:t>
            </w:r>
          </w:p>
        </w:tc>
      </w:tr>
      <w:tr>
        <w:trPr/>
        <w:tc>
          <w:tcPr>
            <w:tcW w:w="241" w:type="dxa"/>
            <w:tcBorders/>
            <w:shd w:fill="E7E7E2" w:val="clear"/>
            <w:vAlign w:val="center"/>
          </w:tcPr>
          <w:p>
            <w:pPr>
              <w:pStyle w:val="TableContents"/>
              <w:bidi w:val="0"/>
              <w:spacing w:before="0" w:after="283"/>
              <w:jc w:val="center"/>
              <w:rPr/>
            </w:pPr>
            <w:r>
              <w:rPr/>
              <w:t xml:space="preserve">4 </w:t>
            </w:r>
          </w:p>
        </w:tc>
        <w:tc>
          <w:tcPr>
            <w:tcW w:w="949" w:type="dxa"/>
            <w:tcBorders/>
            <w:shd w:fill="E7E7E2" w:val="clear"/>
            <w:vAlign w:val="center"/>
          </w:tcPr>
          <w:p>
            <w:pPr>
              <w:pStyle w:val="TableContents"/>
              <w:bidi w:val="0"/>
              <w:spacing w:before="0" w:after="283"/>
              <w:jc w:val="left"/>
              <w:rPr/>
            </w:pPr>
            <w:r>
              <w:rPr/>
              <w:t xml:space="preserve">Equity </w:t>
            </w:r>
          </w:p>
        </w:tc>
        <w:tc>
          <w:tcPr>
            <w:tcW w:w="1031" w:type="dxa"/>
            <w:tcBorders/>
            <w:shd w:fill="E7E7E2" w:val="clear"/>
            <w:vAlign w:val="center"/>
          </w:tcPr>
          <w:p>
            <w:pPr>
              <w:pStyle w:val="TableContents"/>
              <w:bidi w:val="0"/>
              <w:spacing w:before="0" w:after="283"/>
              <w:jc w:val="left"/>
              <w:rPr/>
            </w:pPr>
            <w:r>
              <w:rPr/>
              <w:t xml:space="preserve">Series A common stock, par value $0.00001 per share </w:t>
            </w:r>
          </w:p>
        </w:tc>
        <w:tc>
          <w:tcPr>
            <w:tcW w:w="1282" w:type="dxa"/>
            <w:tcBorders/>
            <w:shd w:fill="E7E7E2" w:val="clear"/>
            <w:vAlign w:val="center"/>
          </w:tcPr>
          <w:p>
            <w:pPr>
              <w:pStyle w:val="TableContents"/>
              <w:bidi w:val="0"/>
              <w:spacing w:before="0" w:after="283"/>
              <w:jc w:val="center"/>
              <w:rPr/>
            </w:pPr>
            <w:r>
              <w:rPr/>
              <w:t xml:space="preserve">Other </w:t>
            </w:r>
          </w:p>
        </w:tc>
        <w:tc>
          <w:tcPr>
            <w:tcW w:w="1191" w:type="dxa"/>
            <w:tcBorders/>
            <w:shd w:fill="E7E7E2" w:val="clear"/>
            <w:vAlign w:val="center"/>
          </w:tcPr>
          <w:p>
            <w:pPr>
              <w:pStyle w:val="TableContents"/>
              <w:bidi w:val="0"/>
              <w:spacing w:before="0" w:after="283"/>
              <w:jc w:val="right"/>
              <w:rPr/>
            </w:pPr>
            <w:r>
              <w:rPr/>
              <w:t xml:space="preserve">16,524,075 </w:t>
            </w:r>
          </w:p>
        </w:tc>
        <w:tc>
          <w:tcPr>
            <w:tcW w:w="1177" w:type="dxa"/>
            <w:tcBorders/>
            <w:shd w:fill="E7E7E2" w:val="clear"/>
            <w:vAlign w:val="center"/>
          </w:tcPr>
          <w:p>
            <w:pPr>
              <w:pStyle w:val="TableContents"/>
              <w:bidi w:val="0"/>
              <w:spacing w:before="0" w:after="283"/>
              <w:jc w:val="right"/>
              <w:rPr/>
            </w:pPr>
            <w:r>
              <w:rPr/>
              <w:t xml:space="preserve">$ 1.07 </w:t>
            </w:r>
          </w:p>
        </w:tc>
        <w:tc>
          <w:tcPr>
            <w:tcW w:w="1798" w:type="dxa"/>
            <w:tcBorders/>
            <w:shd w:fill="E7E7E2" w:val="clear"/>
            <w:vAlign w:val="center"/>
          </w:tcPr>
          <w:p>
            <w:pPr>
              <w:pStyle w:val="TableContents"/>
              <w:bidi w:val="0"/>
              <w:spacing w:before="0" w:after="283"/>
              <w:jc w:val="right"/>
              <w:rPr/>
            </w:pPr>
            <w:r>
              <w:rPr/>
              <w:t xml:space="preserve">$ 17,680,760.25 </w:t>
            </w:r>
          </w:p>
        </w:tc>
        <w:tc>
          <w:tcPr>
            <w:tcW w:w="1126" w:type="dxa"/>
            <w:tcBorders/>
            <w:shd w:fill="E7E7E2" w:val="clear"/>
            <w:vAlign w:val="center"/>
          </w:tcPr>
          <w:p>
            <w:pPr>
              <w:pStyle w:val="TableContents"/>
              <w:bidi w:val="0"/>
              <w:spacing w:before="0" w:after="283"/>
              <w:jc w:val="right"/>
              <w:rPr/>
            </w:pPr>
            <w:r>
              <w:rPr/>
              <w:t xml:space="preserve">0.0001381 </w:t>
            </w:r>
          </w:p>
        </w:tc>
        <w:tc>
          <w:tcPr>
            <w:tcW w:w="1410" w:type="dxa"/>
            <w:tcBorders/>
            <w:shd w:fill="E7E7E2" w:val="clear"/>
            <w:vAlign w:val="center"/>
          </w:tcPr>
          <w:p>
            <w:pPr>
              <w:pStyle w:val="TableContents"/>
              <w:bidi w:val="0"/>
              <w:spacing w:before="0" w:after="283"/>
              <w:jc w:val="right"/>
              <w:rPr/>
            </w:pPr>
            <w:r>
              <w:rPr/>
              <w:t xml:space="preserve">$ 2,441.71 </w:t>
            </w:r>
          </w:p>
        </w:tc>
      </w:tr>
      <w:tr>
        <w:trPr/>
        <w:tc>
          <w:tcPr>
            <w:tcW w:w="241" w:type="dxa"/>
            <w:tcBorders/>
            <w:shd w:fill="E7E7E2" w:val="clear"/>
            <w:vAlign w:val="center"/>
          </w:tcPr>
          <w:p>
            <w:pPr>
              <w:pStyle w:val="TableContents"/>
              <w:bidi w:val="0"/>
              <w:spacing w:before="0" w:after="283"/>
              <w:jc w:val="center"/>
              <w:rPr/>
            </w:pPr>
            <w:r>
              <w:rPr/>
              <w:t xml:space="preserve">5 </w:t>
            </w:r>
          </w:p>
        </w:tc>
        <w:tc>
          <w:tcPr>
            <w:tcW w:w="949" w:type="dxa"/>
            <w:tcBorders/>
            <w:shd w:fill="E7E7E2" w:val="clear"/>
            <w:vAlign w:val="center"/>
          </w:tcPr>
          <w:p>
            <w:pPr>
              <w:pStyle w:val="TableContents"/>
              <w:bidi w:val="0"/>
              <w:spacing w:before="0" w:after="283"/>
              <w:jc w:val="left"/>
              <w:rPr/>
            </w:pPr>
            <w:r>
              <w:rPr/>
              <w:t xml:space="preserve">Equity </w:t>
            </w:r>
          </w:p>
        </w:tc>
        <w:tc>
          <w:tcPr>
            <w:tcW w:w="1031" w:type="dxa"/>
            <w:tcBorders/>
            <w:shd w:fill="E7E7E2" w:val="clear"/>
            <w:vAlign w:val="center"/>
          </w:tcPr>
          <w:p>
            <w:pPr>
              <w:pStyle w:val="TableContents"/>
              <w:bidi w:val="0"/>
              <w:spacing w:before="0" w:after="283"/>
              <w:jc w:val="left"/>
              <w:rPr/>
            </w:pPr>
            <w:r>
              <w:rPr/>
              <w:t xml:space="preserve">Series A common stock, par value $0.00001 per share </w:t>
            </w:r>
          </w:p>
        </w:tc>
        <w:tc>
          <w:tcPr>
            <w:tcW w:w="1282" w:type="dxa"/>
            <w:tcBorders/>
            <w:shd w:fill="E7E7E2" w:val="clear"/>
            <w:vAlign w:val="center"/>
          </w:tcPr>
          <w:p>
            <w:pPr>
              <w:pStyle w:val="TableContents"/>
              <w:bidi w:val="0"/>
              <w:spacing w:before="0" w:after="283"/>
              <w:jc w:val="center"/>
              <w:rPr/>
            </w:pPr>
            <w:r>
              <w:rPr/>
              <w:t xml:space="preserve">Other </w:t>
            </w:r>
          </w:p>
        </w:tc>
        <w:tc>
          <w:tcPr>
            <w:tcW w:w="1191" w:type="dxa"/>
            <w:tcBorders/>
            <w:shd w:fill="E7E7E2" w:val="clear"/>
            <w:vAlign w:val="center"/>
          </w:tcPr>
          <w:p>
            <w:pPr>
              <w:pStyle w:val="TableContents"/>
              <w:bidi w:val="0"/>
              <w:spacing w:before="0" w:after="283"/>
              <w:jc w:val="right"/>
              <w:rPr/>
            </w:pPr>
            <w:r>
              <w:rPr/>
              <w:t xml:space="preserve">1,830,211 </w:t>
            </w:r>
          </w:p>
        </w:tc>
        <w:tc>
          <w:tcPr>
            <w:tcW w:w="1177" w:type="dxa"/>
            <w:tcBorders/>
            <w:shd w:fill="E7E7E2" w:val="clear"/>
            <w:vAlign w:val="center"/>
          </w:tcPr>
          <w:p>
            <w:pPr>
              <w:pStyle w:val="TableContents"/>
              <w:bidi w:val="0"/>
              <w:spacing w:before="0" w:after="283"/>
              <w:jc w:val="right"/>
              <w:rPr/>
            </w:pPr>
            <w:r>
              <w:rPr/>
              <w:t xml:space="preserve">$ 5.83 </w:t>
            </w:r>
          </w:p>
        </w:tc>
        <w:tc>
          <w:tcPr>
            <w:tcW w:w="1798" w:type="dxa"/>
            <w:tcBorders/>
            <w:shd w:fill="E7E7E2" w:val="clear"/>
            <w:vAlign w:val="center"/>
          </w:tcPr>
          <w:p>
            <w:pPr>
              <w:pStyle w:val="TableContents"/>
              <w:bidi w:val="0"/>
              <w:spacing w:before="0" w:after="283"/>
              <w:jc w:val="right"/>
              <w:rPr/>
            </w:pPr>
            <w:r>
              <w:rPr/>
              <w:t xml:space="preserve">$ 10,670,130.13 </w:t>
            </w:r>
          </w:p>
        </w:tc>
        <w:tc>
          <w:tcPr>
            <w:tcW w:w="1126" w:type="dxa"/>
            <w:tcBorders/>
            <w:shd w:fill="E7E7E2" w:val="clear"/>
            <w:vAlign w:val="center"/>
          </w:tcPr>
          <w:p>
            <w:pPr>
              <w:pStyle w:val="TableContents"/>
              <w:bidi w:val="0"/>
              <w:spacing w:before="0" w:after="283"/>
              <w:jc w:val="right"/>
              <w:rPr/>
            </w:pPr>
            <w:r>
              <w:rPr/>
              <w:t xml:space="preserve">0.0001381 </w:t>
            </w:r>
          </w:p>
        </w:tc>
        <w:tc>
          <w:tcPr>
            <w:tcW w:w="1410" w:type="dxa"/>
            <w:tcBorders/>
            <w:shd w:fill="E7E7E2" w:val="clear"/>
            <w:vAlign w:val="center"/>
          </w:tcPr>
          <w:p>
            <w:pPr>
              <w:pStyle w:val="TableContents"/>
              <w:bidi w:val="0"/>
              <w:spacing w:before="0" w:after="283"/>
              <w:jc w:val="right"/>
              <w:rPr/>
            </w:pPr>
            <w:r>
              <w:rPr/>
              <w:t xml:space="preserve">$ 1,473.54 </w:t>
            </w:r>
          </w:p>
        </w:tc>
      </w:tr>
      <w:tr>
        <w:trPr/>
        <w:tc>
          <w:tcPr>
            <w:tcW w:w="4694" w:type="dxa"/>
            <w:gridSpan w:val="5"/>
            <w:tcBorders/>
            <w:vAlign w:val="center"/>
          </w:tcPr>
          <w:p>
            <w:pPr>
              <w:pStyle w:val="TableContents"/>
              <w:bidi w:val="0"/>
              <w:spacing w:before="0" w:after="0"/>
              <w:ind w:left="0" w:right="0" w:hanging="0"/>
              <w:jc w:val="right"/>
              <w:rPr/>
            </w:pPr>
            <w:r>
              <w:rPr/>
              <w:t>Total Offering Amounts:</w:t>
            </w:r>
          </w:p>
        </w:tc>
        <w:tc>
          <w:tcPr>
            <w:tcW w:w="117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0"/>
              <w:ind w:left="0" w:right="0" w:hanging="0"/>
              <w:jc w:val="right"/>
              <w:rPr/>
            </w:pPr>
            <w:bookmarkStart w:id="4" w:name="MaxAggtOfferingPrice"/>
            <w:bookmarkEnd w:id="4"/>
            <w:r>
              <w:rPr/>
              <w:t xml:space="preserve">$ 135,952,067.14 </w:t>
            </w:r>
          </w:p>
        </w:tc>
        <w:tc>
          <w:tcPr>
            <w:tcW w:w="1126" w:type="dxa"/>
            <w:tcBorders/>
            <w:vAlign w:val="center"/>
          </w:tcPr>
          <w:p>
            <w:pPr>
              <w:pStyle w:val="TableContents"/>
              <w:bidi w:val="0"/>
              <w:spacing w:before="0" w:after="283"/>
              <w:jc w:val="left"/>
              <w:rPr>
                <w:sz w:val="4"/>
                <w:szCs w:val="4"/>
              </w:rPr>
            </w:pPr>
            <w:r>
              <w:rPr>
                <w:sz w:val="4"/>
                <w:szCs w:val="4"/>
              </w:rPr>
            </w:r>
          </w:p>
        </w:tc>
        <w:tc>
          <w:tcPr>
            <w:tcW w:w="141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$ 18,774.97 </w:t>
            </w:r>
          </w:p>
        </w:tc>
      </w:tr>
      <w:tr>
        <w:trPr/>
        <w:tc>
          <w:tcPr>
            <w:tcW w:w="4694" w:type="dxa"/>
            <w:gridSpan w:val="5"/>
            <w:tcBorders/>
            <w:vAlign w:val="center"/>
          </w:tcPr>
          <w:p>
            <w:pPr>
              <w:pStyle w:val="TableContents"/>
              <w:bidi w:val="0"/>
              <w:spacing w:before="0" w:after="0"/>
              <w:ind w:left="0" w:right="0" w:hanging="0"/>
              <w:jc w:val="right"/>
              <w:rPr/>
            </w:pPr>
            <w:r>
              <w:rPr/>
              <w:t xml:space="preserve">Total Fee Offsets: </w:t>
            </w:r>
          </w:p>
        </w:tc>
        <w:tc>
          <w:tcPr>
            <w:tcW w:w="117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94" w:type="dxa"/>
            <w:gridSpan w:val="5"/>
            <w:tcBorders/>
            <w:vAlign w:val="center"/>
          </w:tcPr>
          <w:p>
            <w:pPr>
              <w:pStyle w:val="TableContents"/>
              <w:bidi w:val="0"/>
              <w:spacing w:before="0" w:after="0"/>
              <w:ind w:left="0" w:right="0" w:hanging="0"/>
              <w:jc w:val="right"/>
              <w:rPr/>
            </w:pPr>
            <w:r>
              <w:rPr/>
              <w:t xml:space="preserve">Net Fee Due: </w:t>
            </w:r>
          </w:p>
        </w:tc>
        <w:tc>
          <w:tcPr>
            <w:tcW w:w="117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0"/>
              <w:ind w:left="0" w:right="0" w:hanging="0"/>
              <w:jc w:val="right"/>
              <w:rPr/>
            </w:pPr>
            <w:bookmarkStart w:id="7" w:name="NetFeeAmt"/>
            <w:bookmarkEnd w:id="7"/>
            <w:r>
              <w:rPr/>
              <w:t xml:space="preserve">$ 18,774.97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5"/>
        <w:gridCol w:w="8712"/>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On June 5, 2026 (the "Closing Date"), Factorial Energy Inc. (previously named Cartesian Growth Corporation III, the "Registrant") consummated a business combination (the "Business Combination") pursuant to the terms of the business combination agreement, dated December 17, 2025 and amended on march 26, 2026 and may 18, 2026, with Fenway MS, Inc., ("Merger Sub"), and Factorial Inc. ("Legacy Factorial"). Pursuant to Rule 416, under the Securities Act of 1933, as amended (the "Securities Act"), this Registration Statement on Form S-8 ("Registration Statement") shall also cover any additional shares of Series A common stock, $0.00001 per value per share (the "Series A Common Stock") of the Registrant that become issuable under the Factorial Energy Inc. 2026 Equity Incentive Plan (the "2026 Plan") and the Factorial Energy Inc. 2026 Employee Stock Purchase Plan (the "2026 ESPP") by reason of any stock dividend, stock split, recapitalization or any other similar transactions. (b) Represents 12,768,484 shares of Series A Common Stock reserved and available for future issuance under the 2026 Plan. To the extent outstanding equity awards granted under the 2026 Plan are cancelled, forfeited, or otherwise terminated without being exercised, the number of shares underlying such awards will be available for future grant under the 2026 Plan. The 2026 Plan provides that the number of shares reserved and available for issuance thereunder will automatically increase on January 1, 2027 and each January 1 thereafter by (i) 5% of the sum of Outstanding Shares (as defined in the 2026 Plan) on the immediately preceding December 31 or (ii) such lesser number of shares as determined by the administrator of the 2026 Plan. (c) Estimated solely for the purposes of calculating the registration fee pursuant to rule 457(c) of the Securities Act, and based on $5.83, the average of the high and low sales prices of the Series A Common Stock as reported on the Nasdaq Stock Market ("Nasdaq") on August 10, 2026 (such date being within five business days of the date that this Registration Statement was filed with the Securities and Exchange Commission ("Commission")).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(a) See note 1(a). (b) Represents 3,115,299 shares of Series A Common Stock issuable with respect to the unvested options to purchase shares of Legacy Factorial common stock (each, a "Legacy Factorial Option") under the Factorial Inc. 2019 Stock Incentive Pan (as amended, the "2019 Plan") that were cancelled and exchanged for stock option awards of the Registrant (each, a "Registrant Option") under the 2019 Plan. Following the Closing Date, Legacy Factorial did not grant any further awards under the 2019 Plan. To the extent outstanding options granted under the 2026 Plan are cancelled, forfeited or otherwise terminated without being exercised, the number of shares underlying such awards will be available for future grant under the 2026 Plan. (c) Estimated solely for the purpose of calculating the registration fee pursuant to Rule 457(h) of the Securities Act, and based on $1.07, which is the weighted average exercise price (rounded to the nearest cent) of such Registrant Options.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(a) See note 1(a). (b) Represents 5,116,217 shares of Series A Common Stock issuable pursuant to the unvested restricted stock unit awards with respect to shares of Legacy Factorial common stock (each, a "Legacy Factorial RSU") under the 2019 Plan that were cancelled and exchanged for restricted stock unit awards of the Registrant (each, a Registrant RSU") under the 2026 Plan. Following the Closing Date, Legacy Factorial did not grant any further awards under the 2019 Plan. To the extent outstanding restricted stock unit awards granted under the 2026 Plan are cancelled, forfeited or otherwise terminated without being settled, the number of shares underlying such awards will be available for future grant under the 2026 Plan. (c) Estimated solely for the purpose of calculating the registration fee pursuant to rule 457(c) of the Securities Act, and based on $5.83, the average of the high and low sales prices of the Series A Common Stock as reported on Nasdaq on August 10, 2026 (such date being within five business days of the date that this Registration Statement was filed with the Commission).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(a) see note 1(a). (b) Represents 16,524,075 shares of Series A Common Stock issuable with respect to the vested Legacy Factorial Options that were cancelled and exchanged for Registrant Options under the 2026 Plan. Following the Closing Date, Legacy Factorial, did not grant any further awards under the 2019 Plan. To the extent outstanding options granted under the 2026 Plan are cancelled, forfeited or otherwise terminated without being exercised, the number of shares underlying such awards will be available for future grant under the 2026 plan. (c) Estimated solely for the purpose of calculating the registration fee pursuant to Rule 457(h) of the Securities Act, and based on $1.07, which is the weighted average exercise price (rounded to the nearest cent) of such Registrant Options.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7" w:type="dxa"/>
            <w:gridSpan w:val="2"/>
            <w:tcBorders/>
            <w:vAlign w:val="center"/>
          </w:tcPr>
          <w:p>
            <w:pPr>
              <w:pStyle w:val="TableContents"/>
              <w:bidi w:val="0"/>
              <w:spacing w:before="0" w:after="283"/>
              <w:jc w:val="left"/>
              <w:rPr/>
            </w:pPr>
            <w:r>
              <w:rPr/>
              <w:t xml:space="preserve">(a) See note 1(a). (b) Represents 1,830,211 shares of Series A Common Stock reserved and available for future issuance under the 2026 ESPP. The 2026 ESPP provides that the number of shares reserved and available for issuance thereunder automatically increases each January 1, beginning January 1, 2027 and ending on January 1, 2036, by the lease of (i) 2% of the Registrant's Outstanding Shares (as defined in the 2026 ESPP) on the immediately preceding December 31, (ii) 3,000,000 shares of Series A Common Stock and (iii) such number of shares of Series A Common Stock as determined by the administrator of the 2026 ESPP. (c) Estimated solely for the purposes of calculating the registration fee pursuant to Rule 457(c) of the Securities Act, and based on 85% (the percentage of the price per share applicable to purchases under the 2026 ESPP) of $5.83, the average of the high and low sale prices of the Series A Common Stock as reported on Nasdaq on August 10, 20216 (such date being within five business days of the date that this Registration Statement was filed with the Commission).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August 12,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Factorial Energy Inc.</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805 Middlesex Turnpike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Billerica, MA 01821</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Securities Being Registered under Registration Statement on Form S-8</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have acted as your counsel in connection with your filing of a Registration Statement on Form S-8 (the “Registration Statement”) pursuant to the Securities Act of 1933, as amended (the “Securities Act”), on or about the date hereof relating to an aggregate of 39,354,286 shares (the “Shares”) of Series A Common Stock, par value $0.00001 per share (“Series A Common Stock”), of Factorial Energy Inc., a Delaware corporation (the “Company”), that may be issued pursuant to the Factorial Energy Inc. 2026 Equity Incentive Plan and the Factorial Energy Inc. 2026 Employee Stock Purchase Plan (collectively, the “Plans”).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For purposes of the opinion set forth below, we have assumed that, at the time Shares are issued, the total number of then unissued Shares, when added to the number of shares of Series A Common Stock issued, subscribed for, or otherwise committed to be issued, does not exceed the number of shares of Series A Common Stock authorized by the Company’s certificate of incorporation.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opinion set forth below is limited to the Delaware General Corporation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Based on the foregoing, we are of the opinion that the Shares have been duly authorized and, when delivered against payment therefor in accordance with the terms of the Plans, will be validly issued, fully paid and nonassessable.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This opinion letter and the opinion it contains shall be interpreted in accordance with the Core Opinion Principles as published in 74 </w:t>
      </w:r>
      <w:r>
        <w:rPr>
          <w:rFonts w:ascii="Times New Roman;serif" w:hAnsi="Times New Roman;serif"/>
          <w:b w:val="false"/>
          <w:i/>
          <w:color w:val="000000"/>
          <w:sz w:val="24"/>
        </w:rPr>
        <w:t>Business Lawyer</w:t>
      </w:r>
      <w:r>
        <w:rPr>
          <w:color w:val="000000"/>
        </w:rPr>
        <w:t xml:space="preserve"> </w:t>
      </w:r>
      <w:r>
        <w:rPr>
          <w:rFonts w:ascii="Times New Roman;serif" w:hAnsi="Times New Roman;serif"/>
          <w:b w:val="false"/>
          <w:color w:val="000000"/>
          <w:sz w:val="24"/>
        </w:rPr>
        <w:t xml:space="preserve">815 (Summer 2019).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 GOODWIN PROCTER LLP</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GOODWIN PROCTER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this Registration Statement on Form S-8 of Factorial Energy Inc. of our report dated March 26, 2026, relating to the consolidated financial statements of Factorial Inc. as of and for the years ended December 31, 2025 and 2024, appearing in the Registration Statement (No. 333-294663) on Form S-4, as amended, and related Prospectus of Factorial Energy Inc. (previously named Cartesian Growth Corporation III).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RSM US LLP</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August 12,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before="0" w:after="0"/>
        <w:jc w:val="right"/>
        <w:rPr/>
      </w:pPr>
      <w:r>
        <w:rPr/>
      </w:r>
    </w:p>
    <w:p>
      <w:pPr>
        <w:pStyle w:val="TextBody"/>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CONSENT OF INDEPENDENT REGISTERED PUBLIC ACCOUNTING FIRM</w:t>
      </w:r>
    </w:p>
    <w:p>
      <w:pPr>
        <w:pStyle w:val="TextBody"/>
        <w:bidi w:val="0"/>
        <w:spacing w:before="120" w:after="283"/>
        <w:jc w:val="both"/>
        <w:rPr/>
      </w:pPr>
      <w:r>
        <w:rPr/>
      </w:r>
    </w:p>
    <w:p>
      <w:pPr>
        <w:pStyle w:val="TextBody"/>
        <w:bidi w:val="0"/>
        <w:spacing w:lineRule="auto" w:line="288" w:before="120" w:after="283"/>
        <w:jc w:val="both"/>
        <w:rPr/>
      </w:pPr>
      <w:r>
        <w:rPr>
          <w:rFonts w:ascii="Times New Roman;serif" w:hAnsi="Times New Roman;serif"/>
          <w:b w:val="false"/>
          <w:color w:val="000000"/>
          <w:sz w:val="20"/>
        </w:rPr>
        <w:t>We consent to the incorporation by reference in this Registration Statement on Form S-8 of our report dated March 20, 2026 with respect to the financial statements of Cartesian Growth Corporation III</w:t>
      </w:r>
      <w:r>
        <w:rPr>
          <w:color w:val="000000"/>
        </w:rPr>
        <w:t xml:space="preserve"> </w:t>
      </w:r>
      <w:r>
        <w:rPr>
          <w:rFonts w:ascii="Times New Roman;serif" w:hAnsi="Times New Roman;serif"/>
          <w:b w:val="false"/>
          <w:color w:val="000000"/>
          <w:sz w:val="20"/>
        </w:rPr>
        <w:t>for the year ended December 31, 2025</w:t>
      </w:r>
      <w:r>
        <w:rPr>
          <w:color w:val="000000"/>
        </w:rPr>
        <w:t xml:space="preserve"> </w:t>
      </w:r>
      <w:r>
        <w:rPr>
          <w:rFonts w:ascii="Times New Roman;serif" w:hAnsi="Times New Roman;serif"/>
          <w:b w:val="false"/>
          <w:color w:val="000000"/>
          <w:sz w:val="20"/>
        </w:rPr>
        <w:t>included in the Annual Report on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 CBIZ CPAs P.C.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August 12, 2026 </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9662/000110465926072433/tm2617149d1_ex3-1.htm" TargetMode="External"/><Relationship Id="rId3" Type="http://schemas.openxmlformats.org/officeDocument/2006/relationships/hyperlink" Target="https://www.sec.gov/Archives/edgar/data/2049662/000110465926072433/tm2617149d1_ex3-2.htm" TargetMode="External"/><Relationship Id="rId4" Type="http://schemas.openxmlformats.org/officeDocument/2006/relationships/hyperlink" Target="https://www.sec.gov/Archives/edgar/data/2049662/000110465926072433/tm2617149d1_ex10-17.htm" TargetMode="External"/><Relationship Id="rId5" Type="http://schemas.openxmlformats.org/officeDocument/2006/relationships/hyperlink" Target="https://www.sec.gov/Archives/edgar/data/2049662/000110465926072433/tm2617149d1_ex10-1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5682</Words>
  <Characters>29948</Characters>
  <CharactersWithSpaces>35589</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