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Cartesian Growth Corporation III</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Tenor Capital Management Company,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Tenor Opportunity Master Fund,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Robin Shah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Cartesian Growth Corporation III</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Fifth Avenue, 15th Floor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Tenor Capital Management Company, L.P. Tenor Opportunity Master Fund, Ltd. Robin Shah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810 Seventh Avenue, Suite 1905, New York, NY 10019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Tenor Capital Management Company, L.P. - Delaware Tenor Opportunity Master Fund, Ltd. - Cayman Islands Robin Shah -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Tenor Capital Management Company, L.P. - 0.0% Tenor Opportunity Master Fund, Ltd. - 0.0% Robin Shah - 0.0%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Tenor Capital Management Company, L.P. - 0.0% Tenor Opportunity Master Fund, Ltd. - 0.0% Robin Shah - 0.0%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Tenor Capital Management Company,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Robin Shah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Robin Shah, Managing Member of its general partner, Tenor Management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Tenor Opportunity Master Fund, Ltd.</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Robin Shah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Robin Shah,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Robin Shah</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Robin Shah</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Robin Shah</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283"/>
              <w:jc w:val="center"/>
              <w:rPr>
                <w:b/>
              </w:rPr>
            </w:pPr>
            <w:r>
              <w:rPr>
                <w:b/>
              </w:rPr>
              <w:t xml:space="preserve">Exhibit Information </w:t>
            </w:r>
          </w:p>
        </w:tc>
      </w:tr>
      <w:tr>
        <w:trPr/>
        <w:tc>
          <w:tcPr>
            <w:tcW w:w="4516" w:type="dxa"/>
            <w:tcBorders/>
            <w:vAlign w:val="center"/>
          </w:tcPr>
          <w:p>
            <w:pPr>
              <w:pStyle w:val="TableContents"/>
              <w:bidi w:val="0"/>
              <w:spacing w:before="0" w:after="283"/>
              <w:jc w:val="left"/>
              <w:rPr/>
            </w:pPr>
            <w:r>
              <w:rPr/>
              <w:t>EXHIBIT I - JOINT FILING STATEMENT</w:t>
            </w:r>
          </w:p>
        </w:tc>
      </w:tr>
    </w:tbl>
    <w:p>
      <w:pPr>
        <w:pStyle w:val="TextBody"/>
        <w:bidi w:val="0"/>
        <w:spacing w:before="0" w:after="0"/>
        <w:jc w:val="center"/>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 and agree to the joint filing of Schedule 13G under the Securities Exchange Act of 1934, as amended, with respect to the Shares of Cartesian Growth Corporation III together with any or all amendments thereto, when and if required. The parties hereto further consent and agree to file this Joint Filing Statement pursuant to Rule13d-1(k)(1)(iii) as an exhibit to Schedule 13G, thereby incorporating the same into such Schedule 13G.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Statement may be terminated by any of the undersigned upon written notice or such lesser period of notice as the undersigned may mutually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365"/>
        <w:gridCol w:w="8030"/>
      </w:tblGrid>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Capital Management Company,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 Managing Member of its general partner, Tenor Management GP,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Opportunity Master Fund,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 Authorized Signatory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1333</Words>
  <Characters>6759</Characters>
  <CharactersWithSpaces>8066</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