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Factorial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Series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456,706.00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456,706.00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456,706.00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456,706.00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456,706.00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456,706.00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456,706.00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456,706.00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456,706.00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Factorial Energy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805 Middlesex Turnpike, Billerica, Massachusetts 01821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For each reporting person, the percent of the class reported herein as beneficially owned by such reporting person gives effect to shares deemed to be outstanding as provided in Rule 13d-3(d)(1)(i), if any, presuming that all those warrants to purchase shares of the class reported herein that are held or otherwise controlled by any reporting person are exercisable within sixty days of the date hereof.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13,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23302d1_ex-i.htm"/>
      <w:bookmarkStart w:id="25" w:name="kstm2623302d1_exi"/>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Series A Common Stock, par value $0.00001 per share, of Factorial Energy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1440</Words>
  <Characters>7452</Characters>
  <CharactersWithSpaces>8889</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