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caps w:val="false"/>
          <w:smallCaps w:val="false"/>
        </w:rPr>
      </w:pPr>
      <w:bookmarkStart w:id="0" w:name="tm2627398d2_424b3.htm"/>
      <w:bookmarkStart w:id="1" w:name="kstm2627398d2_424b3"/>
      <w:bookmarkEnd w:id="0"/>
      <w:bookmarkEnd w:id="1"/>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333-297158</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2</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dated July 7,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86,441,489 Shares of Series A Common Stock by the Selling Securityholders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13,800,000 Shares of Series A Common Stock Issuable Upon the Exercise of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no. 2 (this “Prospectus Supplement”) amends and supplements the prospectus dated July 7, 2026 (as supplemented by prospectus supplement no. 1, dated September 21, 2026, and as may be further supplemented or amended from time to time, the “Prospectus”) which forms part of our Registration Statement on Form S-1 (Registration Statement No. 333-297158). This Prospectus Supplement is being filed to update and supplement the information included or incorporated by reference in the Prospectus with the information contained in our Current Report on Form 8-K, filed with the Securities and Exchange Commission (the “SEC”) on October 9, 2026 (the “Form 8-K”). Accordingly, we have attached the Form 8-K to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public warrants are listed on the Nasdaq Global Market (“Nasdaq”) under the symbols “FAC” and “FACWW,” respectively. On October 8, 2026, the last quoted sale price of our common stock as reported on Nasdaq was $5.08 per share and the last quoted sale price of our public warrants as reported on Nasdaq was $0.72 per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under applicable federal securities laws and will be subject to reduced public company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Before buying any securities, you should carefully read the discussion of the risks of investing in our securities in “Risk Factors” beginning on page 9 of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 securities to be issued under the Prospectus or determined if the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October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ind w:left="0" w:right="0" w:hanging="0"/>
        <w:jc w:val="left"/>
        <w:rPr/>
      </w:pPr>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October 7, 2026</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FACTORIAL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tbl>
      <w:tblPr>
        <w:tblW w:w="7020" w:type="dxa"/>
        <w:jc w:val="left"/>
        <w:tblInd w:w="0" w:type="dxa"/>
        <w:tblLayout w:type="fixed"/>
        <w:tblCellMar>
          <w:top w:w="0" w:type="dxa"/>
          <w:left w:w="0" w:type="dxa"/>
          <w:bottom w:w="28" w:type="dxa"/>
          <w:right w:w="0" w:type="dxa"/>
        </w:tblCellMar>
      </w:tblPr>
      <w:tblGrid>
        <w:gridCol w:w="2720"/>
        <w:gridCol w:w="60"/>
        <w:gridCol w:w="2300"/>
        <w:gridCol w:w="60"/>
        <w:gridCol w:w="1880"/>
      </w:tblGrid>
      <w:tr>
        <w:trPr/>
        <w:tc>
          <w:tcPr>
            <w:tcW w:w="27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001-42629</w:t>
            </w:r>
          </w:p>
        </w:tc>
        <w:tc>
          <w:tcPr>
            <w:tcW w:w="60" w:type="dxa"/>
            <w:tcBorders/>
            <w:tcMar>
              <w:bottom w:w="0" w:type="dxa"/>
            </w:tcMar>
            <w:vAlign w:val="center"/>
          </w:tcPr>
          <w:p>
            <w:pPr>
              <w:pStyle w:val="TableContents"/>
              <w:bidi w:val="0"/>
              <w:spacing w:before="0" w:after="283"/>
              <w:jc w:val="left"/>
              <w:rPr/>
            </w:pPr>
            <w:r>
              <w:rPr/>
              <w:t> </w:t>
            </w:r>
          </w:p>
        </w:tc>
        <w:tc>
          <w:tcPr>
            <w:tcW w:w="18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42-2967285</w:t>
            </w:r>
          </w:p>
        </w:tc>
      </w:tr>
      <w:tr>
        <w:trPr/>
        <w:tc>
          <w:tcPr>
            <w:tcW w:w="2720" w:type="dxa"/>
            <w:tcBorders/>
            <w:shd w:fill="FFFFFF" w:val="clear"/>
            <w:tcMar>
              <w:bottom w:w="0" w:type="dxa"/>
            </w:tcMar>
            <w:vAlign w:val="center"/>
          </w:tcPr>
          <w:p>
            <w:pPr>
              <w:pStyle w:val="TableContents"/>
              <w:bidi w:val="0"/>
              <w:spacing w:before="0" w:after="283"/>
              <w:jc w:val="center"/>
              <w:rPr>
                <w:b/>
              </w:rPr>
            </w:pPr>
            <w:r>
              <w:rPr>
                <w:b/>
              </w:rPr>
              <w:t>(State or other jurisdiction</w:t>
              <w:br/>
              <w:t>of incorporation)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0" w:type="dxa"/>
            <w:tcBorders/>
            <w:shd w:fill="FFFFFF" w:val="clear"/>
            <w:tcMar>
              <w:bottom w:w="0" w:type="dxa"/>
            </w:tcMar>
            <w:vAlign w:val="center"/>
          </w:tcPr>
          <w:p>
            <w:pPr>
              <w:pStyle w:val="TableContents"/>
              <w:bidi w:val="0"/>
              <w:spacing w:before="0" w:after="283"/>
              <w:jc w:val="center"/>
              <w:rPr/>
            </w:pPr>
            <w:r>
              <w:rPr>
                <w:b/>
              </w:rPr>
              <w:t>(IRS Employer</w:t>
            </w:r>
            <w:r>
              <w:rPr/>
              <w:t xml:space="preserve"> </w:t>
            </w:r>
            <w:r>
              <w:rPr>
                <w:b/>
              </w:rPr>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805 Middlesex Turnpike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Billerica, MA 01821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(617) 315-9733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86"/>
        <w:gridCol w:w="60"/>
        <w:gridCol w:w="800"/>
        <w:gridCol w:w="60"/>
        <w:gridCol w:w="1999"/>
      </w:tblGrid>
      <w:tr>
        <w:trPr/>
        <w:tc>
          <w:tcPr>
            <w:tcW w:w="7286"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9" w:type="dxa"/>
            <w:tcBorders>
              <w:bottom w:val="single" w:sz="8" w:space="0" w:color="000000"/>
            </w:tcBorders>
            <w:shd w:fill="FFFFFF" w:val="clear"/>
            <w:vAlign w:val="center"/>
          </w:tcPr>
          <w:p>
            <w:pPr>
              <w:pStyle w:val="TableContents"/>
              <w:bidi w:val="0"/>
              <w:spacing w:before="0" w:after="283"/>
              <w:jc w:val="center"/>
              <w:rPr>
                <w:b/>
              </w:rPr>
            </w:pPr>
            <w:r>
              <w:rPr>
                <w:b/>
              </w:rPr>
              <w:t xml:space="preserve">Name of each </w:t>
              <w:br/>
              <w:t>exchange</w:t>
              <w:br/>
              <w:t>on which registered</w:t>
            </w:r>
          </w:p>
        </w:tc>
      </w:tr>
      <w:tr>
        <w:trPr/>
        <w:tc>
          <w:tcPr>
            <w:tcW w:w="7286"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 A Common Stock, par value $0.00001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9"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Nasdaq Global Market</w:t>
            </w:r>
          </w:p>
        </w:tc>
      </w:tr>
      <w:tr>
        <w:trPr/>
        <w:tc>
          <w:tcPr>
            <w:tcW w:w="7286"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Warrants, each whole warrant exercisable for one share of Series A Common Stock at an exercise price of $11.50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FACWW</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9"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Quarterly Report on Form 10-Q of Factorial Energy Inc. (the “Company”) for the quarter ended June 30, 2026, filed with the Securities and Exchange Commission on August 11, 2026, the Company was party to an arbitration, initiated on March 14, 2025, before the International Centre for Dispute Resolution. The arbitration was a contractual dispute with a vendor. On October 7, 2026, the arbitrator issued a final award in favor of the vendor, requiring the Company to pay a net amount of approximately $4.5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860" w:type="dxa"/>
        <w:jc w:val="left"/>
        <w:tblInd w:w="0" w:type="dxa"/>
        <w:tblLayout w:type="fixed"/>
        <w:tblCellMar>
          <w:top w:w="0" w:type="dxa"/>
          <w:left w:w="0" w:type="dxa"/>
          <w:bottom w:w="0" w:type="dxa"/>
          <w:right w:w="0" w:type="dxa"/>
        </w:tblCellMar>
      </w:tblPr>
      <w:tblGrid>
        <w:gridCol w:w="1820"/>
        <w:gridCol w:w="545"/>
        <w:gridCol w:w="2495"/>
      </w:tblGrid>
      <w:tr>
        <w:trPr/>
        <w:tc>
          <w:tcPr>
            <w:tcW w:w="18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FACTORIAL ENERGY INC.</w:t>
            </w:r>
          </w:p>
        </w:tc>
      </w:tr>
      <w:tr>
        <w:trPr/>
        <w:tc>
          <w:tcPr>
            <w:tcW w:w="18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9,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Siyu Huang</w:t>
            </w:r>
          </w:p>
        </w:tc>
      </w:tr>
      <w:tr>
        <w:trPr/>
        <w:tc>
          <w:tcPr>
            <w:tcW w:w="18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Siyu Huang</w:t>
            </w:r>
          </w:p>
        </w:tc>
      </w:tr>
      <w:tr>
        <w:trPr/>
        <w:tc>
          <w:tcPr>
            <w:tcW w:w="18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870</Words>
  <Characters>4739</Characters>
  <CharactersWithSpaces>5611</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