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Factorial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Series A Common Stock, par value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Highbridge Capital Management,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4"/>
        <w:gridCol w:w="8936"/>
        <w:gridCol w:w="155"/>
      </w:tblGrid>
      <w:tr>
        <w:trPr/>
        <w:tc>
          <w:tcPr>
            <w:tcW w:w="1114" w:type="dxa"/>
            <w:tcBorders/>
            <w:vAlign w:val="center"/>
          </w:tcPr>
          <w:p>
            <w:pPr>
              <w:pStyle w:val="TableContents"/>
              <w:bidi w:val="0"/>
              <w:spacing w:before="0" w:after="283"/>
              <w:jc w:val="left"/>
              <w:rPr/>
            </w:pPr>
            <w:r>
              <w:rPr/>
              <w:t>Item 1.</w:t>
            </w:r>
          </w:p>
        </w:tc>
        <w:tc>
          <w:tcPr>
            <w:tcW w:w="893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(a)</w:t>
            </w:r>
          </w:p>
        </w:tc>
        <w:tc>
          <w:tcPr>
            <w:tcW w:w="8936" w:type="dxa"/>
            <w:tcBorders/>
            <w:vAlign w:val="center"/>
          </w:tcPr>
          <w:p>
            <w:pPr>
              <w:pStyle w:val="TableContents"/>
              <w:bidi w:val="0"/>
              <w:jc w:val="left"/>
              <w:rPr/>
            </w:pPr>
            <w:r>
              <w:rPr/>
              <w:t xml:space="preserve">Name of issuer: </w:t>
            </w:r>
          </w:p>
          <w:p>
            <w:pPr>
              <w:pStyle w:val="TableContents"/>
              <w:bidi w:val="0"/>
              <w:spacing w:before="0" w:after="0"/>
              <w:jc w:val="left"/>
              <w:rPr/>
            </w:pPr>
            <w:r>
              <w:rPr/>
              <w:t>Factorial Energy Inc.</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(b)</w:t>
            </w:r>
          </w:p>
        </w:tc>
        <w:tc>
          <w:tcPr>
            <w:tcW w:w="893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805 Middlesex Turnpike, Billerica, MA 01821</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2.</w:t>
            </w:r>
          </w:p>
        </w:tc>
        <w:tc>
          <w:tcPr>
            <w:tcW w:w="893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(a)</w:t>
            </w:r>
          </w:p>
        </w:tc>
        <w:tc>
          <w:tcPr>
            <w:tcW w:w="893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Highbridge Capital Management, LLC ("Highbridge" or the "Reporting Person"), a Delaware limited liability company and the investment adviser to certain funds and accounts (the "Highbridge Funds"), with respect to the Series A common stock, par value $0.00001 per share ("Series A Common Stock") of Factorial Energy Inc. (f/k/a Cartesian Growth Corporation III), a Delaware corporation, that were directly held by the Highbridge Funds.</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(b)</w:t>
            </w:r>
          </w:p>
        </w:tc>
        <w:tc>
          <w:tcPr>
            <w:tcW w:w="893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the Reporting Person is 390 Madison Avenue, 28th Floor, New York, NY 10017.</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(c)</w:t>
            </w:r>
          </w:p>
        </w:tc>
        <w:tc>
          <w:tcPr>
            <w:tcW w:w="8936" w:type="dxa"/>
            <w:tcBorders/>
            <w:vAlign w:val="center"/>
          </w:tcPr>
          <w:p>
            <w:pPr>
              <w:pStyle w:val="TableContents"/>
              <w:bidi w:val="0"/>
              <w:jc w:val="left"/>
              <w:rPr/>
            </w:pPr>
            <w:r>
              <w:rPr/>
              <w:t xml:space="preserve">Citizenship: </w:t>
            </w:r>
          </w:p>
          <w:p>
            <w:pPr>
              <w:pStyle w:val="TableContents"/>
              <w:bidi w:val="0"/>
              <w:spacing w:before="0" w:after="0"/>
              <w:jc w:val="left"/>
              <w:rPr/>
            </w:pPr>
            <w:r>
              <w:rPr/>
              <w:t>Highbridge is a Delaware limited liability company.</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(d)</w:t>
            </w:r>
          </w:p>
        </w:tc>
        <w:tc>
          <w:tcPr>
            <w:tcW w:w="893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Series A Common Stock, par value $0.00001 per share</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(e)</w:t>
            </w:r>
          </w:p>
        </w:tc>
        <w:tc>
          <w:tcPr>
            <w:tcW w:w="893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3.</w:t>
            </w:r>
          </w:p>
        </w:tc>
        <w:tc>
          <w:tcPr>
            <w:tcW w:w="893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(a)</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(b)</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(c)</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(d)</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(e)</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(f)</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(g)</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(h)</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(j)</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(k)</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9091" w:type="dxa"/>
            <w:gridSpan w:val="2"/>
            <w:tcBorders/>
            <w:vAlign w:val="center"/>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4.</w:t>
            </w:r>
          </w:p>
        </w:tc>
        <w:tc>
          <w:tcPr>
            <w:tcW w:w="893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(a)</w:t>
            </w:r>
          </w:p>
        </w:tc>
        <w:tc>
          <w:tcPr>
            <w:tcW w:w="893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the Reporting Person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(b)</w:t>
            </w:r>
          </w:p>
        </w:tc>
        <w:tc>
          <w:tcPr>
            <w:tcW w:w="893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0.0%  %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(c)</w:t>
            </w:r>
          </w:p>
        </w:tc>
        <w:tc>
          <w:tcPr>
            <w:tcW w:w="893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5.</w:t>
            </w:r>
          </w:p>
        </w:tc>
        <w:tc>
          <w:tcPr>
            <w:tcW w:w="893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6.</w:t>
            </w:r>
          </w:p>
        </w:tc>
        <w:tc>
          <w:tcPr>
            <w:tcW w:w="893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7.</w:t>
            </w:r>
          </w:p>
        </w:tc>
        <w:tc>
          <w:tcPr>
            <w:tcW w:w="893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8.</w:t>
            </w:r>
          </w:p>
        </w:tc>
        <w:tc>
          <w:tcPr>
            <w:tcW w:w="893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9.</w:t>
            </w:r>
          </w:p>
        </w:tc>
        <w:tc>
          <w:tcPr>
            <w:tcW w:w="893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60" w:type="dxa"/>
        <w:jc w:val="left"/>
        <w:tblInd w:w="0" w:type="dxa"/>
        <w:tblLayout w:type="fixed"/>
        <w:tblCellMar>
          <w:top w:w="28" w:type="dxa"/>
          <w:left w:w="28" w:type="dxa"/>
          <w:bottom w:w="28" w:type="dxa"/>
          <w:right w:w="28" w:type="dxa"/>
        </w:tblCellMar>
      </w:tblPr>
      <w:tblGrid>
        <w:gridCol w:w="4030"/>
        <w:gridCol w:w="4030"/>
      </w:tblGrid>
      <w:tr>
        <w:trPr/>
        <w:tc>
          <w:tcPr>
            <w:tcW w:w="4030" w:type="dxa"/>
            <w:tcBorders/>
            <w:vAlign w:val="center"/>
          </w:tcPr>
          <w:p>
            <w:pPr>
              <w:pStyle w:val="TableContents"/>
              <w:bidi w:val="0"/>
              <w:spacing w:before="0" w:after="0"/>
              <w:jc w:val="left"/>
              <w:rPr/>
            </w:pPr>
            <w:r>
              <w:rPr/>
              <w:t> </w:t>
            </w:r>
          </w:p>
          <w:tbl>
            <w:tblPr>
              <w:tblW w:w="3856" w:type="dxa"/>
              <w:jc w:val="left"/>
              <w:tblInd w:w="0" w:type="dxa"/>
              <w:tblLayout w:type="fixed"/>
              <w:tblCellMar>
                <w:top w:w="28" w:type="dxa"/>
                <w:left w:w="28" w:type="dxa"/>
                <w:bottom w:w="28" w:type="dxa"/>
                <w:right w:w="28" w:type="dxa"/>
              </w:tblCellMar>
            </w:tblPr>
            <w:tblGrid>
              <w:gridCol w:w="3856"/>
            </w:tblGrid>
            <w:tr>
              <w:trPr/>
              <w:tc>
                <w:tcPr>
                  <w:tcW w:w="3856" w:type="dxa"/>
                  <w:tcBorders/>
                  <w:vAlign w:val="center"/>
                </w:tcPr>
                <w:p>
                  <w:pPr>
                    <w:pStyle w:val="TableContents"/>
                    <w:bidi w:val="0"/>
                    <w:spacing w:before="0" w:after="0"/>
                    <w:jc w:val="left"/>
                    <w:rPr/>
                  </w:pPr>
                  <w:r>
                    <w:rPr/>
                    <w:t>Highbridge Capital Management, LLC</w:t>
                  </w:r>
                </w:p>
              </w:tc>
            </w:tr>
          </w:tbl>
          <w:p>
            <w:pPr>
              <w:pStyle w:val="TableContents"/>
              <w:bidi w:val="0"/>
              <w:spacing w:before="0" w:after="283"/>
              <w:jc w:val="left"/>
              <w:rPr/>
            </w:pPr>
            <w:r>
              <w:rPr/>
            </w:r>
          </w:p>
        </w:tc>
        <w:tc>
          <w:tcPr>
            <w:tcW w:w="4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Kirk Rule</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By: Kirk Rule, Executive Director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953</Words>
  <Characters>4858</Characters>
  <CharactersWithSpaces>5806</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