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Cartesian Growth Corp III</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Meteora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Cartesian Growth Corp III</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505 Fifth Avenue, 15th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Meteora Capital, LLC, a Delaware limited liability company ("Meteora Capital") with respect to the Common Stock (as defined in Item 2(d)) held by certain funds and managed accounts to which Meteora Capital serves as investment manager (collectively, the "Meteora Funds"); and (ii) Vik Mittal, who serves as the Managing Member of Meteora Capital, with respect to the Common Stock held by the Meteora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for each of the Reporting Persons is: 1200 N Federal Hwy, #200, Boca Raton FL 33432</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Meteora Capital is a Delaware limited liability company. Vik Mittal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Meteora Capital, LLC</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1"/>
        <w:gridCol w:w="4484"/>
      </w:tblGrid>
      <w:tr>
        <w:trPr/>
        <w:tc>
          <w:tcPr>
            <w:tcW w:w="57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Vik Mittal</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Mr</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873</Words>
  <Characters>4409</Characters>
  <CharactersWithSpaces>5277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